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Theme="minorEastAsia"/>
          <w:sz w:val="22"/>
          <w:szCs w:val="22"/>
          <w:lang w:val="en-GB" w:eastAsia="zh-CN"/>
        </w:rPr>
      </w:pPr>
      <w:r>
        <w:rPr>
          <w:sz w:val="22"/>
          <w:szCs w:val="22"/>
          <w:lang w:val="en-GB"/>
        </w:rPr>
        <w:t>3GPP TSG-RAN WG2 Meeting #</w:t>
      </w:r>
      <w:r>
        <w:rPr>
          <w:rFonts w:hint="eastAsia" w:eastAsiaTheme="minorEastAsia"/>
          <w:sz w:val="22"/>
          <w:szCs w:val="22"/>
          <w:lang w:val="en-US" w:eastAsia="zh-CN"/>
        </w:rPr>
        <w:t>101bis</w:t>
      </w:r>
      <w:r>
        <w:rPr>
          <w:rFonts w:hint="eastAsia" w:eastAsiaTheme="minorEastAsia"/>
          <w:sz w:val="22"/>
          <w:szCs w:val="22"/>
          <w:lang w:val="en-GB" w:eastAsia="zh-CN"/>
        </w:rPr>
        <w:t xml:space="preserve">    </w:t>
      </w:r>
      <w:r>
        <w:rPr>
          <w:sz w:val="22"/>
          <w:szCs w:val="22"/>
          <w:lang w:val="en-GB"/>
        </w:rPr>
        <w:t>                                                        </w:t>
      </w:r>
      <w:r>
        <w:rPr>
          <w:rFonts w:hint="eastAsia" w:cs="Arial"/>
          <w:sz w:val="22"/>
          <w:szCs w:val="22"/>
        </w:rPr>
        <w:t>R2-1804409</w:t>
      </w:r>
    </w:p>
    <w:p>
      <w:pPr>
        <w:pStyle w:val="17"/>
        <w:rPr>
          <w:sz w:val="22"/>
          <w:szCs w:val="22"/>
          <w:lang w:val="en-GB" w:eastAsia="zh-CN"/>
        </w:rPr>
      </w:pPr>
      <w:r>
        <w:rPr>
          <w:rFonts w:hint="eastAsia"/>
          <w:sz w:val="22"/>
          <w:szCs w:val="22"/>
          <w:lang w:val="en-US" w:eastAsia="zh-CN"/>
        </w:rPr>
        <w:t>Sanya</w:t>
      </w:r>
      <w:r>
        <w:rPr>
          <w:sz w:val="22"/>
          <w:szCs w:val="22"/>
          <w:lang w:val="en-GB"/>
        </w:rPr>
        <w:t xml:space="preserve">, </w:t>
      </w:r>
      <w:r>
        <w:rPr>
          <w:rFonts w:hint="eastAsia"/>
          <w:sz w:val="22"/>
          <w:szCs w:val="22"/>
          <w:lang w:val="en-US" w:eastAsia="zh-CN"/>
        </w:rPr>
        <w:t>China</w:t>
      </w:r>
      <w:r>
        <w:rPr>
          <w:sz w:val="22"/>
          <w:szCs w:val="22"/>
          <w:lang w:val="en-GB"/>
        </w:rPr>
        <w:t xml:space="preserve">, </w:t>
      </w:r>
      <w:r>
        <w:rPr>
          <w:rFonts w:hint="eastAsia"/>
          <w:sz w:val="22"/>
          <w:szCs w:val="22"/>
          <w:lang w:val="en-US" w:eastAsia="zh-CN"/>
        </w:rPr>
        <w:t>16</w:t>
      </w:r>
      <w:r>
        <w:rPr>
          <w:sz w:val="22"/>
          <w:szCs w:val="22"/>
          <w:lang w:val="en-GB"/>
        </w:rPr>
        <w:t xml:space="preserve">th </w:t>
      </w:r>
      <w:r>
        <w:rPr>
          <w:rFonts w:hint="eastAsia"/>
          <w:sz w:val="22"/>
          <w:szCs w:val="22"/>
          <w:lang w:val="en-US" w:eastAsia="zh-CN"/>
        </w:rPr>
        <w:t>April</w:t>
      </w:r>
      <w:r>
        <w:rPr>
          <w:sz w:val="22"/>
          <w:szCs w:val="22"/>
          <w:lang w:val="en-GB"/>
        </w:rPr>
        <w:t xml:space="preserve">– </w:t>
      </w:r>
      <w:r>
        <w:rPr>
          <w:rFonts w:hint="eastAsia"/>
          <w:sz w:val="22"/>
          <w:szCs w:val="22"/>
          <w:lang w:val="en-US" w:eastAsia="zh-CN"/>
        </w:rPr>
        <w:t>20th</w:t>
      </w:r>
      <w:r>
        <w:rPr>
          <w:sz w:val="22"/>
          <w:szCs w:val="22"/>
          <w:lang w:val="en-GB"/>
        </w:rPr>
        <w:t xml:space="preserve"> </w:t>
      </w:r>
      <w:r>
        <w:rPr>
          <w:rFonts w:hint="eastAsia"/>
          <w:sz w:val="22"/>
          <w:szCs w:val="22"/>
          <w:lang w:val="en-US" w:eastAsia="zh-CN"/>
        </w:rPr>
        <w:t>April</w:t>
      </w:r>
      <w:r>
        <w:rPr>
          <w:rFonts w:hint="eastAsia"/>
          <w:sz w:val="22"/>
          <w:szCs w:val="22"/>
          <w:lang w:val="en-GB"/>
        </w:rPr>
        <w:t xml:space="preserve"> 2018</w:t>
      </w:r>
    </w:p>
    <w:p>
      <w:pPr>
        <w:pStyle w:val="17"/>
        <w:tabs>
          <w:tab w:val="left" w:pos="1800"/>
          <w:tab w:val="clear" w:pos="4536"/>
        </w:tabs>
        <w:ind w:left="1800" w:hanging="1800"/>
        <w:jc w:val="both"/>
        <w:rPr>
          <w:rFonts w:eastAsia="宋体" w:cs="Arial"/>
          <w:sz w:val="22"/>
          <w:szCs w:val="22"/>
          <w:lang w:val="en-GB" w:eastAsia="zh-CN"/>
        </w:rPr>
      </w:pP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Sanechips</w:t>
      </w:r>
    </w:p>
    <w:p>
      <w:pPr>
        <w:pStyle w:val="17"/>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bCs/>
          <w:color w:val="000000"/>
          <w:sz w:val="21"/>
          <w:szCs w:val="21"/>
          <w:shd w:val="clear" w:color="auto" w:fill="FFFFFF"/>
          <w:lang w:eastAsia="zh-CN"/>
        </w:rPr>
        <w:t>Consideration on the DC based enhancement for the mobility of aerial vehicles</w:t>
      </w:r>
      <w:bookmarkStart w:id="7" w:name="_GoBack"/>
      <w:bookmarkEnd w:id="7"/>
    </w:p>
    <w:p>
      <w:pPr>
        <w:pStyle w:val="17"/>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 xml:space="preserve">9.18.3 </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1"/>
        </w:pBdr>
        <w:jc w:val="both"/>
        <w:rPr>
          <w:szCs w:val="28"/>
        </w:rPr>
      </w:pPr>
      <w:r>
        <w:rPr>
          <w:szCs w:val="28"/>
        </w:rPr>
        <w:t>Introduction</w:t>
      </w:r>
    </w:p>
    <w:p>
      <w:pPr>
        <w:pStyle w:val="11"/>
        <w:rPr>
          <w:rFonts w:eastAsiaTheme="minorEastAsia"/>
          <w:lang w:val="en-GB" w:eastAsia="zh-CN"/>
        </w:rPr>
      </w:pPr>
      <w:r>
        <w:rPr>
          <w:rFonts w:hint="eastAsia" w:eastAsia="宋体"/>
          <w:sz w:val="21"/>
          <w:szCs w:val="28"/>
          <w:lang w:eastAsia="zh-CN"/>
        </w:rPr>
        <w:t>The WI Enhanced LTE Support for Aerial Vehicles has been agreed in RP-172826, and the intention of this contribution is to share some consideration on the DC based enhancement for the aerial vehicles.</w:t>
      </w:r>
    </w:p>
    <w:p>
      <w:pPr>
        <w:pStyle w:val="2"/>
        <w:pBdr>
          <w:top w:val="single" w:color="auto" w:sz="4" w:space="1"/>
        </w:pBdr>
        <w:jc w:val="both"/>
        <w:rPr>
          <w:szCs w:val="28"/>
        </w:rPr>
      </w:pPr>
      <w:r>
        <w:rPr>
          <w:rFonts w:hint="eastAsia"/>
          <w:szCs w:val="28"/>
        </w:rPr>
        <w:t>Discussion</w:t>
      </w:r>
    </w:p>
    <w:p>
      <w:pPr>
        <w:pStyle w:val="11"/>
        <w:rPr>
          <w:rFonts w:eastAsia="宋体"/>
          <w:sz w:val="21"/>
          <w:szCs w:val="28"/>
          <w:lang w:eastAsia="zh-CN"/>
        </w:rPr>
      </w:pPr>
      <w:r>
        <w:rPr>
          <w:rFonts w:hint="eastAsia" w:eastAsia="宋体"/>
          <w:sz w:val="21"/>
          <w:szCs w:val="28"/>
          <w:lang w:eastAsia="zh-CN"/>
        </w:rPr>
        <w:t>Some study on the support of aerial vehicles have already been made in Rel-1</w:t>
      </w:r>
      <w:r>
        <w:rPr>
          <w:rFonts w:hint="eastAsia" w:eastAsia="宋体"/>
          <w:sz w:val="21"/>
          <w:szCs w:val="28"/>
          <w:lang w:val="en-US" w:eastAsia="zh-CN"/>
        </w:rPr>
        <w:t>4</w:t>
      </w:r>
      <w:r>
        <w:rPr>
          <w:rFonts w:hint="eastAsia" w:eastAsia="宋体"/>
          <w:sz w:val="21"/>
          <w:szCs w:val="28"/>
          <w:lang w:eastAsia="zh-CN"/>
        </w:rPr>
        <w:t xml:space="preserve">, and the following output can be found in TR 36.777, based on the simulation results </w:t>
      </w:r>
      <w:r>
        <w:rPr>
          <w:rFonts w:hint="eastAsia" w:eastAsia="宋体"/>
          <w:sz w:val="21"/>
          <w:szCs w:val="28"/>
          <w:lang w:val="en-US" w:eastAsia="zh-CN"/>
        </w:rPr>
        <w:t xml:space="preserve">which are also </w:t>
      </w:r>
      <w:r>
        <w:rPr>
          <w:rFonts w:hint="eastAsia" w:eastAsia="宋体"/>
          <w:sz w:val="21"/>
          <w:szCs w:val="28"/>
          <w:lang w:eastAsia="zh-CN"/>
        </w:rPr>
        <w:t>captured</w:t>
      </w:r>
      <w:r>
        <w:rPr>
          <w:rFonts w:hint="eastAsia" w:eastAsia="宋体"/>
          <w:sz w:val="21"/>
          <w:szCs w:val="28"/>
          <w:lang w:val="en-US" w:eastAsia="zh-CN"/>
        </w:rPr>
        <w:t xml:space="preserve"> in this TR</w:t>
      </w:r>
      <w:r>
        <w:rPr>
          <w:rFonts w:hint="eastAsia" w:eastAsia="宋体"/>
          <w:sz w:val="21"/>
          <w:szCs w:val="28"/>
          <w:lang w:eastAsia="zh-CN"/>
        </w:rPr>
        <w:t xml:space="preserve">. </w:t>
      </w:r>
    </w:p>
    <w:p>
      <w:pPr>
        <w:pStyle w:val="11"/>
        <w:numPr>
          <w:ilvl w:val="0"/>
          <w:numId w:val="5"/>
        </w:numPr>
        <w:rPr>
          <w:rFonts w:eastAsia="宋体"/>
          <w:sz w:val="21"/>
          <w:szCs w:val="28"/>
          <w:lang w:eastAsia="zh-CN"/>
        </w:rPr>
      </w:pPr>
      <w:r>
        <w:rPr>
          <w:rFonts w:hint="eastAsia" w:eastAsia="宋体"/>
          <w:sz w:val="21"/>
          <w:szCs w:val="28"/>
          <w:lang w:eastAsia="zh-CN"/>
        </w:rPr>
        <w:t>J.2.3</w:t>
      </w:r>
      <w:r>
        <w:rPr>
          <w:rFonts w:hint="eastAsia" w:eastAsia="宋体"/>
          <w:sz w:val="21"/>
          <w:szCs w:val="28"/>
          <w:lang w:eastAsia="zh-CN"/>
        </w:rPr>
        <w:tab/>
      </w:r>
      <w:r>
        <w:rPr>
          <w:rFonts w:hint="eastAsia" w:eastAsia="宋体"/>
          <w:sz w:val="21"/>
          <w:szCs w:val="28"/>
          <w:lang w:eastAsia="zh-CN"/>
        </w:rPr>
        <w:t>HOF rate</w:t>
      </w:r>
    </w:p>
    <w:p>
      <w:pPr>
        <w:pStyle w:val="11"/>
        <w:numPr>
          <w:ilvl w:val="1"/>
          <w:numId w:val="6"/>
        </w:numPr>
        <w:rPr>
          <w:rFonts w:eastAsia="宋体"/>
          <w:sz w:val="21"/>
          <w:szCs w:val="28"/>
          <w:lang w:eastAsia="zh-CN"/>
        </w:rPr>
      </w:pPr>
      <w:r>
        <w:rPr>
          <w:rFonts w:hint="eastAsia" w:eastAsia="宋体"/>
          <w:sz w:val="21"/>
          <w:szCs w:val="28"/>
          <w:lang w:eastAsia="zh-CN"/>
        </w:rPr>
        <w:t>Majority of the companies observed higher HOF rate for aerial UE than that for terrestrial UE in most cases. And the higher the speed or the height of aerial UE is, the higher HOF rate can be observed.</w:t>
      </w:r>
    </w:p>
    <w:p>
      <w:pPr>
        <w:pStyle w:val="11"/>
        <w:numPr>
          <w:ilvl w:val="0"/>
          <w:numId w:val="5"/>
        </w:numPr>
        <w:rPr>
          <w:rFonts w:eastAsia="宋体"/>
          <w:sz w:val="21"/>
          <w:szCs w:val="28"/>
          <w:lang w:eastAsia="zh-CN"/>
        </w:rPr>
      </w:pPr>
      <w:r>
        <w:rPr>
          <w:rFonts w:hint="eastAsia" w:eastAsia="宋体"/>
          <w:sz w:val="21"/>
          <w:szCs w:val="28"/>
          <w:lang w:eastAsia="zh-CN"/>
        </w:rPr>
        <w:t>J.3.4</w:t>
      </w:r>
      <w:r>
        <w:rPr>
          <w:rFonts w:hint="eastAsia" w:eastAsia="宋体"/>
          <w:sz w:val="21"/>
          <w:szCs w:val="28"/>
          <w:lang w:eastAsia="zh-CN"/>
        </w:rPr>
        <w:tab/>
      </w:r>
      <w:r>
        <w:rPr>
          <w:rFonts w:hint="eastAsia" w:eastAsia="宋体"/>
          <w:sz w:val="21"/>
          <w:szCs w:val="28"/>
          <w:lang w:eastAsia="zh-CN"/>
        </w:rPr>
        <w:t>RLF rate</w:t>
      </w:r>
    </w:p>
    <w:p>
      <w:pPr>
        <w:pStyle w:val="11"/>
        <w:numPr>
          <w:ilvl w:val="1"/>
          <w:numId w:val="6"/>
        </w:numPr>
        <w:rPr>
          <w:rFonts w:eastAsia="宋体"/>
          <w:sz w:val="21"/>
          <w:szCs w:val="28"/>
          <w:lang w:eastAsia="zh-CN"/>
        </w:rPr>
      </w:pPr>
      <w:r>
        <w:rPr>
          <w:rFonts w:hint="eastAsia" w:eastAsia="宋体"/>
          <w:sz w:val="21"/>
          <w:szCs w:val="28"/>
          <w:lang w:eastAsia="zh-CN"/>
        </w:rPr>
        <w:t>Majority of the companies observed higher RLF rate for aerial UE in most cases. And the higher the speed of aerial UE is, the higher RLF rate can be observed.</w:t>
      </w:r>
    </w:p>
    <w:p>
      <w:pPr>
        <w:pStyle w:val="11"/>
        <w:numPr>
          <w:ilvl w:val="0"/>
          <w:numId w:val="5"/>
        </w:numPr>
        <w:rPr>
          <w:rFonts w:eastAsia="宋体"/>
          <w:sz w:val="21"/>
          <w:szCs w:val="28"/>
          <w:lang w:eastAsia="zh-CN"/>
        </w:rPr>
      </w:pPr>
      <w:r>
        <w:rPr>
          <w:rFonts w:hint="eastAsia" w:eastAsia="宋体"/>
          <w:sz w:val="21"/>
          <w:szCs w:val="28"/>
          <w:lang w:eastAsia="zh-CN"/>
        </w:rPr>
        <w:t>J.3.7</w:t>
      </w:r>
      <w:r>
        <w:rPr>
          <w:rFonts w:hint="eastAsia" w:eastAsia="宋体"/>
          <w:sz w:val="21"/>
          <w:szCs w:val="28"/>
          <w:lang w:eastAsia="zh-CN"/>
        </w:rPr>
        <w:tab/>
      </w:r>
      <w:r>
        <w:rPr>
          <w:rFonts w:hint="eastAsia" w:eastAsia="宋体"/>
          <w:sz w:val="21"/>
          <w:szCs w:val="28"/>
          <w:lang w:eastAsia="zh-CN"/>
        </w:rPr>
        <w:t>Ping-Pong rate</w:t>
      </w:r>
    </w:p>
    <w:p>
      <w:pPr>
        <w:pStyle w:val="11"/>
        <w:numPr>
          <w:ilvl w:val="1"/>
          <w:numId w:val="6"/>
        </w:numPr>
        <w:rPr>
          <w:rFonts w:eastAsia="宋体"/>
          <w:sz w:val="21"/>
          <w:szCs w:val="28"/>
          <w:lang w:eastAsia="zh-CN"/>
        </w:rPr>
      </w:pPr>
      <w:r>
        <w:rPr>
          <w:rFonts w:hint="eastAsia" w:eastAsia="宋体"/>
          <w:sz w:val="21"/>
          <w:szCs w:val="28"/>
          <w:lang w:eastAsia="zh-CN"/>
        </w:rPr>
        <w:t>Majority of the sources observed the result that the Ping-Pong rate of terrestrial UE is higher than that of aerial UE, and as height increases the Ping-Pong rate continues to lower down too.</w:t>
      </w:r>
    </w:p>
    <w:p>
      <w:pPr>
        <w:pStyle w:val="11"/>
        <w:rPr>
          <w:rFonts w:eastAsia="宋体"/>
          <w:sz w:val="21"/>
          <w:szCs w:val="28"/>
          <w:lang w:eastAsia="zh-CN"/>
        </w:rPr>
      </w:pPr>
      <w:r>
        <w:rPr>
          <w:rFonts w:hint="eastAsia" w:eastAsia="宋体"/>
          <w:sz w:val="21"/>
          <w:szCs w:val="28"/>
          <w:lang w:eastAsia="zh-CN"/>
        </w:rPr>
        <w:t xml:space="preserve">Based on the information above, a much higher HOF/RLF/Ping-Pong rate can be observed for the aerial vehicles, and the situation may become worse as the increase of the speed or height of UE. The main reason for the high HOF/RLF/Ping-Pong rate is the complex radio conditions in the air, and these failure </w:t>
      </w:r>
      <w:r>
        <w:rPr>
          <w:rFonts w:hint="eastAsia" w:eastAsia="宋体"/>
          <w:sz w:val="21"/>
          <w:szCs w:val="28"/>
          <w:lang w:val="en-US" w:eastAsia="zh-CN"/>
        </w:rPr>
        <w:t xml:space="preserve">are </w:t>
      </w:r>
      <w:r>
        <w:rPr>
          <w:rFonts w:hint="eastAsia" w:eastAsia="宋体"/>
          <w:sz w:val="21"/>
          <w:szCs w:val="28"/>
          <w:lang w:eastAsia="zh-CN"/>
        </w:rPr>
        <w:t xml:space="preserve">mainly caused by the sharp decrease of radio connection </w:t>
      </w:r>
      <w:r>
        <w:rPr>
          <w:rFonts w:hint="eastAsia" w:eastAsia="宋体"/>
          <w:sz w:val="21"/>
          <w:szCs w:val="28"/>
          <w:lang w:val="en-US" w:eastAsia="zh-CN"/>
        </w:rPr>
        <w:t xml:space="preserve">or </w:t>
      </w:r>
      <w:r>
        <w:rPr>
          <w:rFonts w:hint="eastAsia" w:eastAsia="宋体"/>
          <w:sz w:val="21"/>
          <w:szCs w:val="28"/>
          <w:lang w:eastAsia="zh-CN"/>
        </w:rPr>
        <w:t>the coverage hole. In addition, since the NW optimization is mainly made for the UE on the grand, it will be difficult for the NW to provide good coverage for the aerial vehicles in the air, thus it may be difficult to ensure the quality with a single connection.</w:t>
      </w:r>
    </w:p>
    <w:p>
      <w:pPr>
        <w:pStyle w:val="11"/>
        <w:rPr>
          <w:rFonts w:eastAsia="宋体"/>
          <w:b/>
          <w:sz w:val="21"/>
          <w:szCs w:val="28"/>
          <w:lang w:eastAsia="zh-CN"/>
        </w:rPr>
      </w:pPr>
      <w:r>
        <w:rPr>
          <w:rFonts w:hint="eastAsia" w:eastAsia="宋体"/>
          <w:b/>
          <w:sz w:val="21"/>
          <w:szCs w:val="28"/>
          <w:lang w:eastAsia="zh-CN"/>
        </w:rPr>
        <w:t xml:space="preserve">Observation 1: Since the NW optimization is mainly made for the UE on the grand, it will be difficult for the NW to ensure the radio quality with a single connection. </w:t>
      </w:r>
    </w:p>
    <w:p>
      <w:pPr>
        <w:pStyle w:val="11"/>
        <w:rPr>
          <w:rFonts w:eastAsia="宋体"/>
          <w:sz w:val="21"/>
          <w:szCs w:val="28"/>
          <w:lang w:eastAsia="zh-CN"/>
        </w:rPr>
      </w:pPr>
      <w:r>
        <w:rPr>
          <w:rFonts w:hint="eastAsia" w:eastAsia="宋体"/>
          <w:sz w:val="21"/>
          <w:szCs w:val="28"/>
          <w:lang w:eastAsia="zh-CN"/>
        </w:rPr>
        <w:t>In LTE, the dual connectivity has been introduced in Rel-12 to utilize</w:t>
      </w:r>
      <w:r>
        <w:rPr>
          <w:rFonts w:eastAsia="宋体"/>
          <w:sz w:val="21"/>
          <w:szCs w:val="28"/>
          <w:lang w:eastAsia="zh-CN"/>
        </w:rPr>
        <w:t xml:space="preserve"> radio resources provided by two distinct schedulers, located in two eNBs connected via a non-ideal backhau</w:t>
      </w:r>
      <w:r>
        <w:rPr>
          <w:rFonts w:hint="eastAsia" w:eastAsia="宋体"/>
          <w:sz w:val="21"/>
          <w:szCs w:val="28"/>
          <w:lang w:eastAsia="zh-CN"/>
        </w:rPr>
        <w:t>l. In order to avoid the risk of sharp decrease of radio quality in one radio connection, one possible solution is to maintain two connections simultaneously by using the dual connection technology.</w:t>
      </w:r>
    </w:p>
    <w:p>
      <w:pPr>
        <w:pStyle w:val="11"/>
        <w:rPr>
          <w:rFonts w:eastAsia="宋体"/>
          <w:b/>
          <w:sz w:val="21"/>
          <w:szCs w:val="28"/>
          <w:lang w:eastAsia="zh-CN"/>
        </w:rPr>
      </w:pPr>
      <w:r>
        <w:rPr>
          <w:rFonts w:hint="eastAsia" w:eastAsia="宋体"/>
          <w:b/>
          <w:sz w:val="21"/>
          <w:szCs w:val="28"/>
          <w:lang w:eastAsia="zh-CN"/>
        </w:rPr>
        <w:t xml:space="preserve">Observation 2: In order to improve the robustness of signaling and data transmission, one possible solution is to maintain two connections simultaneously by using the dual connection technology.  </w:t>
      </w:r>
    </w:p>
    <w:p>
      <w:pPr>
        <w:pStyle w:val="11"/>
        <w:rPr>
          <w:rFonts w:eastAsia="宋体"/>
          <w:sz w:val="21"/>
          <w:szCs w:val="28"/>
          <w:lang w:eastAsia="zh-CN"/>
        </w:rPr>
      </w:pPr>
      <w:r>
        <w:rPr>
          <w:rFonts w:hint="eastAsia" w:eastAsia="宋体"/>
          <w:sz w:val="21"/>
          <w:szCs w:val="28"/>
          <w:lang w:eastAsia="zh-CN"/>
        </w:rPr>
        <w:t xml:space="preserve">In LTE DC, the RRC diversity has been studied in Rel-12, and the RRC diversity is a potential solution for improving mobility robustness. </w:t>
      </w:r>
      <w:r>
        <w:rPr>
          <w:rFonts w:eastAsia="宋体"/>
          <w:sz w:val="21"/>
          <w:szCs w:val="28"/>
          <w:lang w:eastAsia="zh-CN"/>
        </w:rPr>
        <w:t>With</w:t>
      </w:r>
      <w:r>
        <w:rPr>
          <w:rFonts w:hint="eastAsia" w:eastAsia="宋体"/>
          <w:sz w:val="21"/>
          <w:szCs w:val="28"/>
          <w:lang w:eastAsia="zh-CN"/>
        </w:rPr>
        <w:t xml:space="preserve"> the</w:t>
      </w:r>
      <w:r>
        <w:rPr>
          <w:rFonts w:eastAsia="宋体"/>
          <w:sz w:val="21"/>
          <w:szCs w:val="28"/>
          <w:lang w:eastAsia="zh-CN"/>
        </w:rPr>
        <w:t xml:space="preserve"> RRC diversity, the handover related RRC </w:t>
      </w:r>
      <w:r>
        <w:rPr>
          <w:rFonts w:hint="eastAsia" w:eastAsia="宋体"/>
          <w:sz w:val="21"/>
          <w:szCs w:val="28"/>
          <w:lang w:eastAsia="zh-CN"/>
        </w:rPr>
        <w:t>signaling</w:t>
      </w:r>
      <w:r>
        <w:rPr>
          <w:rFonts w:eastAsia="宋体"/>
          <w:sz w:val="21"/>
          <w:szCs w:val="28"/>
          <w:lang w:eastAsia="zh-CN"/>
        </w:rPr>
        <w:t xml:space="preserve"> could additionally be transmitted from or to a potential target cell</w:t>
      </w:r>
      <w:r>
        <w:rPr>
          <w:rFonts w:hint="eastAsia" w:eastAsia="宋体"/>
          <w:sz w:val="21"/>
          <w:szCs w:val="28"/>
          <w:lang w:eastAsia="zh-CN"/>
        </w:rPr>
        <w:t>, and R</w:t>
      </w:r>
      <w:r>
        <w:rPr>
          <w:rFonts w:eastAsia="宋体"/>
          <w:sz w:val="21"/>
          <w:szCs w:val="28"/>
          <w:lang w:eastAsia="zh-CN"/>
        </w:rPr>
        <w:t xml:space="preserve">LF could in this case be prevented as long as the UE is able to maintain a connection to at least one of the cells. This will eventually lead to a more successful handover performance (i.e. avoiding UE RRC re-establishment procedure).  </w:t>
      </w:r>
    </w:p>
    <w:p>
      <w:pPr>
        <w:pStyle w:val="11"/>
        <w:rPr>
          <w:rFonts w:eastAsia="宋体"/>
          <w:sz w:val="21"/>
          <w:szCs w:val="28"/>
          <w:lang w:eastAsia="zh-CN"/>
        </w:rPr>
      </w:pPr>
      <w:r>
        <w:rPr>
          <w:rFonts w:hint="eastAsia" w:eastAsia="宋体"/>
          <w:sz w:val="21"/>
          <w:szCs w:val="28"/>
          <w:lang w:eastAsia="zh-CN"/>
        </w:rPr>
        <w:t>In order to have a better understanding on the performance gain of RRC diversity, some simulations has been made, and the related simulation result have been captured in the TR 36.842.</w:t>
      </w:r>
    </w:p>
    <w:p>
      <w:pPr>
        <w:rPr>
          <w:rFonts w:eastAsiaTheme="minorEastAsia"/>
          <w:b/>
          <w:lang w:eastAsia="zh-CN"/>
        </w:rPr>
      </w:pPr>
      <w:r>
        <w:rPr>
          <w:rFonts w:hint="eastAsia" w:eastAsiaTheme="minorEastAsia"/>
          <w:b/>
          <w:lang w:eastAsia="zh-CN"/>
        </w:rPr>
        <w:t>-------------------------------------------------- From 36.842 ------------------------------------------------------</w:t>
      </w:r>
    </w:p>
    <w:p>
      <w:pPr>
        <w:rPr>
          <w:rFonts w:eastAsiaTheme="minorEastAsia"/>
          <w:b/>
          <w:lang w:eastAsia="zh-CN"/>
        </w:rPr>
      </w:pPr>
    </w:p>
    <w:p>
      <w:pPr>
        <w:pStyle w:val="77"/>
        <w:rPr>
          <w:lang w:eastAsia="ja-JP"/>
        </w:rPr>
      </w:pPr>
      <w:r>
        <w:rPr>
          <w:rFonts w:hint="eastAsia"/>
          <w:lang w:eastAsia="ja-JP"/>
        </w:rPr>
        <w:t>Table 7.1.3.2-2:</w:t>
      </w:r>
      <w:r>
        <w:rPr>
          <w:lang w:eastAsia="ja-JP"/>
        </w:rPr>
        <w:t xml:space="preserve"> Failure number of different types for baseline and dual RRC message (Case II)</w:t>
      </w:r>
    </w:p>
    <w:tbl>
      <w:tblPr>
        <w:tblStyle w:val="30"/>
        <w:tblW w:w="70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1267"/>
        <w:gridCol w:w="1770"/>
        <w:gridCol w:w="1267"/>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37"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bookmarkStart w:id="3" w:name="OLE_LINK219"/>
            <w:bookmarkStart w:id="4" w:name="OLE_LINK220"/>
            <w:r>
              <w:rPr>
                <w:lang w:eastAsia="ja-JP"/>
              </w:rPr>
              <w:t>Baseline</w:t>
            </w:r>
          </w:p>
        </w:tc>
        <w:tc>
          <w:tcPr>
            <w:tcW w:w="3037"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Dual RRC message</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7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bookmarkStart w:id="5" w:name="OLE_LINK202"/>
            <w:bookmarkStart w:id="6" w:name="OLE_LINK201"/>
            <w:r>
              <w:rPr>
                <w:lang w:eastAsia="ja-JP"/>
              </w:rPr>
              <w:t>Types</w:t>
            </w:r>
            <w:bookmarkEnd w:id="5"/>
            <w:bookmarkEnd w:id="6"/>
          </w:p>
        </w:tc>
        <w:tc>
          <w:tcPr>
            <w:tcW w:w="126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Failure Num</w:t>
            </w:r>
          </w:p>
        </w:tc>
        <w:tc>
          <w:tcPr>
            <w:tcW w:w="177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Types</w:t>
            </w:r>
          </w:p>
        </w:tc>
        <w:tc>
          <w:tcPr>
            <w:tcW w:w="126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Failure Num</w:t>
            </w:r>
          </w:p>
        </w:tc>
        <w:tc>
          <w:tcPr>
            <w:tcW w:w="976" w:type="dxa"/>
            <w:vMerge w:val="continue"/>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rFonts w:eastAsia="宋体"/>
                <w:color w:val="000000"/>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highlight w:val="yellow"/>
                <w:lang w:eastAsia="ja-JP"/>
              </w:rPr>
            </w:pPr>
            <w:r>
              <w:rPr>
                <w:highlight w:val="yellow"/>
                <w:lang w:eastAsia="ja-JP"/>
              </w:rPr>
              <w:t>macro-macro</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highlight w:val="yellow"/>
                <w:lang w:eastAsia="ja-JP"/>
              </w:rPr>
            </w:pPr>
            <w:r>
              <w:rPr>
                <w:highlight w:val="yellow"/>
                <w:lang w:eastAsia="ja-JP"/>
              </w:rPr>
              <w:t>11.2</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highlight w:val="yellow"/>
                <w:lang w:eastAsia="ja-JP"/>
              </w:rPr>
            </w:pPr>
            <w:r>
              <w:rPr>
                <w:highlight w:val="yellow"/>
                <w:lang w:eastAsia="ja-JP"/>
              </w:rPr>
              <w:t>macro-macro</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highlight w:val="yellow"/>
                <w:lang w:eastAsia="ja-JP"/>
              </w:rPr>
            </w:pPr>
            <w:r>
              <w:rPr>
                <w:highlight w:val="yellow"/>
                <w:lang w:eastAsia="ja-JP"/>
              </w:rPr>
              <w:t>5.5</w:t>
            </w:r>
          </w:p>
        </w:tc>
        <w:tc>
          <w:tcPr>
            <w:tcW w:w="9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74"/>
              <w:rPr>
                <w:highlight w:val="yellow"/>
                <w:lang w:eastAsia="ja-JP"/>
              </w:rPr>
            </w:pPr>
            <w:r>
              <w:rPr>
                <w:highlight w:val="yellow"/>
                <w:lang w:eastAsia="ja-JP"/>
              </w:rPr>
              <w:t>0.508929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lang w:eastAsia="ja-JP"/>
              </w:rPr>
            </w:pPr>
            <w:r>
              <w:rPr>
                <w:lang w:eastAsia="ja-JP"/>
              </w:rPr>
              <w:t>small cell-macro</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2.6</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small cell-macro</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0.9</w:t>
            </w:r>
          </w:p>
        </w:tc>
        <w:tc>
          <w:tcPr>
            <w:tcW w:w="9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74"/>
              <w:rPr>
                <w:lang w:eastAsia="ja-JP"/>
              </w:rPr>
            </w:pPr>
            <w:r>
              <w:rPr>
                <w:lang w:eastAsia="ja-JP"/>
              </w:rPr>
              <w:t>0.653846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lang w:eastAsia="ja-JP"/>
              </w:rPr>
            </w:pPr>
            <w:r>
              <w:rPr>
                <w:lang w:eastAsia="ja-JP"/>
              </w:rPr>
              <w:t>macro-small cell</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4.2</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macro-small cell</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2.1</w:t>
            </w:r>
          </w:p>
        </w:tc>
        <w:tc>
          <w:tcPr>
            <w:tcW w:w="9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74"/>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lang w:eastAsia="ja-JP"/>
              </w:rPr>
            </w:pPr>
            <w:r>
              <w:rPr>
                <w:lang w:eastAsia="ja-JP"/>
              </w:rPr>
              <w:t>small cell-small cell</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6.9</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small cell-small cell</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2.8</w:t>
            </w:r>
          </w:p>
        </w:tc>
        <w:tc>
          <w:tcPr>
            <w:tcW w:w="9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74"/>
              <w:rPr>
                <w:lang w:eastAsia="ja-JP"/>
              </w:rPr>
            </w:pPr>
            <w:r>
              <w:rPr>
                <w:lang w:eastAsia="ja-JP"/>
              </w:rPr>
              <w:t>0.594203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lang w:eastAsia="ja-JP"/>
              </w:rPr>
            </w:pPr>
            <w:r>
              <w:rPr>
                <w:lang w:eastAsia="ja-JP"/>
              </w:rPr>
              <w:t>Sum.</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24.9</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Sum.</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ja-JP"/>
              </w:rPr>
            </w:pPr>
            <w:r>
              <w:rPr>
                <w:lang w:eastAsia="ja-JP"/>
              </w:rPr>
              <w:t>11.3</w:t>
            </w:r>
          </w:p>
        </w:tc>
        <w:tc>
          <w:tcPr>
            <w:tcW w:w="9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74"/>
              <w:rPr>
                <w:lang w:eastAsia="ja-JP"/>
              </w:rPr>
            </w:pPr>
            <w:r>
              <w:rPr>
                <w:lang w:eastAsia="ja-JP"/>
              </w:rPr>
              <w:t>0.546185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8" w:hRule="atLeast"/>
          <w:jc w:val="center"/>
        </w:trPr>
        <w:tc>
          <w:tcPr>
            <w:tcW w:w="705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85"/>
            </w:pPr>
            <w:r>
              <w:t>NOTE 1:</w:t>
            </w:r>
            <w:r>
              <w:tab/>
            </w:r>
            <w:r>
              <w:t>By comparing the simulation results of RRC diversity with the baseline,</w:t>
            </w:r>
            <w:r>
              <w:br w:type="textWrapping"/>
            </w:r>
            <w:r>
              <w:t>it can be seen that a gain (about 55%) can be obtained from RRC diversity.</w:t>
            </w:r>
          </w:p>
          <w:p>
            <w:pPr>
              <w:pStyle w:val="85"/>
              <w:rPr>
                <w:lang w:eastAsia="ja-JP"/>
              </w:rPr>
            </w:pPr>
            <w:r>
              <w:t>NOTE 2:</w:t>
            </w:r>
            <w:r>
              <w:tab/>
            </w:r>
            <w:r>
              <w:rPr>
                <w:rFonts w:eastAsia="宋体"/>
              </w:rPr>
              <w:t>The mobility performance was also assessed with DRX</w:t>
            </w:r>
            <w:r>
              <w:rPr>
                <w:rFonts w:hint="eastAsia"/>
                <w:lang w:eastAsia="ja-JP"/>
              </w:rPr>
              <w:t>.</w:t>
            </w:r>
          </w:p>
        </w:tc>
      </w:tr>
      <w:bookmarkEnd w:id="3"/>
      <w:bookmarkEnd w:id="4"/>
    </w:tbl>
    <w:p>
      <w:pPr>
        <w:rPr>
          <w:lang w:eastAsia="ja-JP"/>
        </w:rPr>
      </w:pPr>
    </w:p>
    <w:p>
      <w:pPr>
        <w:pStyle w:val="77"/>
        <w:rPr>
          <w:lang w:val="sv-SE" w:eastAsia="ja-JP"/>
        </w:rPr>
      </w:pPr>
      <w:r>
        <w:rPr>
          <w:lang w:val="en-US" w:eastAsia="zh-CN"/>
        </w:rPr>
        <w:drawing>
          <wp:inline distT="0" distB="0" distL="114300" distR="114300">
            <wp:extent cx="4572635" cy="2743200"/>
            <wp:effectExtent l="4445" t="4445" r="13970" b="14605"/>
            <wp:docPr id="1" name="图片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48"/>
        <w:rPr>
          <w:rFonts w:eastAsia="宋体"/>
          <w:lang w:val="en-US"/>
        </w:rPr>
      </w:pPr>
      <w:r>
        <w:rPr>
          <w:rFonts w:hint="eastAsia"/>
          <w:lang w:eastAsia="ja-JP"/>
        </w:rPr>
        <w:t>Figure 7.1.3.2-2:</w:t>
      </w:r>
      <w:r>
        <w:rPr>
          <w:lang w:eastAsia="ja-JP"/>
        </w:rPr>
        <w:t xml:space="preserve"> </w:t>
      </w:r>
      <w:r>
        <w:rPr>
          <w:rFonts w:eastAsia="宋体"/>
          <w:lang w:val="en-US"/>
        </w:rPr>
        <w:t>Failure n</w:t>
      </w:r>
      <w:r>
        <w:rPr>
          <w:lang w:val="en-US"/>
        </w:rPr>
        <w:t>umber</w:t>
      </w:r>
      <w:r>
        <w:rPr>
          <w:rFonts w:eastAsia="宋体"/>
          <w:lang w:val="en-US"/>
        </w:rPr>
        <w:t xml:space="preserve"> of different types</w:t>
      </w:r>
      <w:r>
        <w:rPr>
          <w:lang w:val="en-US"/>
        </w:rPr>
        <w:t xml:space="preserve"> </w:t>
      </w:r>
      <w:r>
        <w:rPr>
          <w:rFonts w:eastAsia="宋体"/>
          <w:lang w:val="en-US"/>
        </w:rPr>
        <w:t>for baseline and dual RRC message</w:t>
      </w:r>
    </w:p>
    <w:p>
      <w:pPr>
        <w:rPr>
          <w:lang w:eastAsia="ja-JP"/>
        </w:rPr>
      </w:pPr>
    </w:p>
    <w:p>
      <w:pPr>
        <w:pStyle w:val="77"/>
        <w:rPr>
          <w:lang w:val="en-US" w:eastAsia="ja-JP"/>
        </w:rPr>
      </w:pPr>
      <w:r>
        <w:rPr>
          <w:rFonts w:hint="eastAsia"/>
          <w:lang w:eastAsia="ja-JP"/>
        </w:rPr>
        <w:t>Table 7.1.3.2-3:</w:t>
      </w:r>
      <w:r>
        <w:rPr>
          <w:lang w:eastAsia="ja-JP"/>
        </w:rPr>
        <w:t xml:space="preserve"> </w:t>
      </w:r>
      <w:r>
        <w:rPr>
          <w:rFonts w:eastAsia="宋体"/>
          <w:lang w:val="en-US"/>
        </w:rPr>
        <w:t>Failure n</w:t>
      </w:r>
      <w:r>
        <w:rPr>
          <w:lang w:val="en-US"/>
        </w:rPr>
        <w:t>umber</w:t>
      </w:r>
      <w:r>
        <w:rPr>
          <w:rFonts w:eastAsia="宋体"/>
          <w:lang w:val="en-US"/>
        </w:rPr>
        <w:t xml:space="preserve"> of different types</w:t>
      </w:r>
      <w:r>
        <w:rPr>
          <w:lang w:val="en-US"/>
        </w:rPr>
        <w:t xml:space="preserve"> </w:t>
      </w:r>
      <w:r>
        <w:rPr>
          <w:rFonts w:eastAsia="宋体"/>
          <w:lang w:val="en-US"/>
        </w:rPr>
        <w:t>for baseline and dual RRC message</w:t>
      </w:r>
    </w:p>
    <w:tbl>
      <w:tblPr>
        <w:tblStyle w:val="30"/>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8"/>
        <w:gridCol w:w="970"/>
        <w:gridCol w:w="632"/>
        <w:gridCol w:w="632"/>
        <w:gridCol w:w="632"/>
        <w:gridCol w:w="632"/>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728"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Case</w:t>
            </w:r>
          </w:p>
        </w:tc>
        <w:tc>
          <w:tcPr>
            <w:tcW w:w="970"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No DRX</w:t>
            </w:r>
          </w:p>
        </w:tc>
        <w:tc>
          <w:tcPr>
            <w:tcW w:w="3203" w:type="dxa"/>
            <w:gridSpan w:val="5"/>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DRX Cycle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728" w:type="dxa"/>
            <w:vMerge w:val="continue"/>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p>
        </w:tc>
        <w:tc>
          <w:tcPr>
            <w:tcW w:w="632"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80</w:t>
            </w:r>
          </w:p>
        </w:tc>
        <w:tc>
          <w:tcPr>
            <w:tcW w:w="632"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160</w:t>
            </w:r>
          </w:p>
        </w:tc>
        <w:tc>
          <w:tcPr>
            <w:tcW w:w="632"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320</w:t>
            </w:r>
          </w:p>
        </w:tc>
        <w:tc>
          <w:tcPr>
            <w:tcW w:w="632"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640</w:t>
            </w:r>
          </w:p>
        </w:tc>
        <w:tc>
          <w:tcPr>
            <w:tcW w:w="67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79"/>
              <w:rPr>
                <w:lang w:eastAsia="ja-JP"/>
              </w:rPr>
            </w:pPr>
            <w:r>
              <w:rPr>
                <w:lang w:eastAsia="ja-JP"/>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728" w:type="dxa"/>
            <w:tcBorders>
              <w:top w:val="single" w:color="auto" w:sz="4" w:space="0"/>
              <w:left w:val="single" w:color="auto" w:sz="4" w:space="0"/>
              <w:bottom w:val="single" w:color="auto" w:sz="4" w:space="0"/>
              <w:right w:val="single" w:color="auto" w:sz="4" w:space="0"/>
            </w:tcBorders>
            <w:vAlign w:val="center"/>
          </w:tcPr>
          <w:p>
            <w:pPr>
              <w:pStyle w:val="79"/>
              <w:jc w:val="left"/>
              <w:rPr>
                <w:lang w:eastAsia="ja-JP"/>
              </w:rPr>
            </w:pPr>
            <w:r>
              <w:rPr>
                <w:lang w:eastAsia="ja-JP"/>
              </w:rPr>
              <w:t>Normal HO</w:t>
            </w:r>
          </w:p>
        </w:tc>
        <w:tc>
          <w:tcPr>
            <w:tcW w:w="970"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24,9</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30,7</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36,1</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44,5</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47,9</w:t>
            </w:r>
          </w:p>
        </w:tc>
        <w:tc>
          <w:tcPr>
            <w:tcW w:w="675"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728" w:type="dxa"/>
            <w:tcBorders>
              <w:top w:val="single" w:color="auto" w:sz="4" w:space="0"/>
              <w:left w:val="single" w:color="auto" w:sz="4" w:space="0"/>
              <w:bottom w:val="single" w:color="auto" w:sz="4" w:space="0"/>
              <w:right w:val="single" w:color="auto" w:sz="4" w:space="0"/>
            </w:tcBorders>
            <w:vAlign w:val="center"/>
          </w:tcPr>
          <w:p>
            <w:pPr>
              <w:pStyle w:val="79"/>
              <w:jc w:val="left"/>
              <w:rPr>
                <w:lang w:eastAsia="ja-JP"/>
              </w:rPr>
            </w:pPr>
            <w:r>
              <w:rPr>
                <w:lang w:eastAsia="ja-JP"/>
              </w:rPr>
              <w:t>Dual RLM + Dual RRC Msg</w:t>
            </w:r>
          </w:p>
        </w:tc>
        <w:tc>
          <w:tcPr>
            <w:tcW w:w="970"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11,3</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13,1</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15</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17.8</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19,4</w:t>
            </w:r>
          </w:p>
        </w:tc>
        <w:tc>
          <w:tcPr>
            <w:tcW w:w="675" w:type="dxa"/>
            <w:tcBorders>
              <w:top w:val="single" w:color="auto" w:sz="4" w:space="0"/>
              <w:left w:val="single" w:color="auto" w:sz="4" w:space="0"/>
              <w:bottom w:val="single" w:color="auto" w:sz="4" w:space="0"/>
              <w:right w:val="single" w:color="auto" w:sz="4" w:space="0"/>
            </w:tcBorders>
            <w:vAlign w:val="center"/>
          </w:tcPr>
          <w:p>
            <w:pPr>
              <w:pStyle w:val="74"/>
              <w:rPr>
                <w:lang w:eastAsia="ja-JP"/>
              </w:rPr>
            </w:pPr>
            <w:r>
              <w:rPr>
                <w:lang w:eastAsia="ja-JP"/>
              </w:rPr>
              <w:t>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728" w:type="dxa"/>
            <w:tcBorders>
              <w:top w:val="single" w:color="auto" w:sz="4" w:space="0"/>
              <w:left w:val="single" w:color="auto" w:sz="4" w:space="0"/>
              <w:bottom w:val="single" w:color="auto" w:sz="4" w:space="0"/>
              <w:right w:val="single" w:color="auto" w:sz="4" w:space="0"/>
            </w:tcBorders>
            <w:vAlign w:val="center"/>
          </w:tcPr>
          <w:p>
            <w:pPr>
              <w:pStyle w:val="79"/>
              <w:jc w:val="left"/>
              <w:rPr>
                <w:highlight w:val="yellow"/>
                <w:lang w:eastAsia="ja-JP"/>
              </w:rPr>
            </w:pPr>
            <w:r>
              <w:rPr>
                <w:highlight w:val="yellow"/>
                <w:lang w:eastAsia="ja-JP"/>
              </w:rPr>
              <w:t xml:space="preserve">Gain </w:t>
            </w:r>
          </w:p>
        </w:tc>
        <w:tc>
          <w:tcPr>
            <w:tcW w:w="970" w:type="dxa"/>
            <w:tcBorders>
              <w:top w:val="single" w:color="auto" w:sz="4" w:space="0"/>
              <w:left w:val="single" w:color="auto" w:sz="4" w:space="0"/>
              <w:bottom w:val="single" w:color="auto" w:sz="4" w:space="0"/>
              <w:right w:val="single" w:color="auto" w:sz="4" w:space="0"/>
            </w:tcBorders>
            <w:vAlign w:val="center"/>
          </w:tcPr>
          <w:p>
            <w:pPr>
              <w:pStyle w:val="74"/>
              <w:rPr>
                <w:highlight w:val="yellow"/>
                <w:lang w:eastAsia="ja-JP"/>
              </w:rPr>
            </w:pPr>
            <w:r>
              <w:rPr>
                <w:highlight w:val="yellow"/>
                <w:lang w:eastAsia="ja-JP"/>
              </w:rPr>
              <w:t>55%</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highlight w:val="yellow"/>
                <w:lang w:eastAsia="ja-JP"/>
              </w:rPr>
            </w:pPr>
            <w:r>
              <w:rPr>
                <w:highlight w:val="yellow"/>
                <w:lang w:eastAsia="ja-JP"/>
              </w:rPr>
              <w:t>57%</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highlight w:val="yellow"/>
                <w:lang w:eastAsia="ja-JP"/>
              </w:rPr>
            </w:pPr>
            <w:r>
              <w:rPr>
                <w:highlight w:val="yellow"/>
                <w:lang w:eastAsia="ja-JP"/>
              </w:rPr>
              <w:t>58%</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highlight w:val="yellow"/>
                <w:lang w:eastAsia="ja-JP"/>
              </w:rPr>
            </w:pPr>
            <w:r>
              <w:rPr>
                <w:highlight w:val="yellow"/>
                <w:lang w:eastAsia="ja-JP"/>
              </w:rPr>
              <w:t>60%</w:t>
            </w:r>
          </w:p>
        </w:tc>
        <w:tc>
          <w:tcPr>
            <w:tcW w:w="632" w:type="dxa"/>
            <w:tcBorders>
              <w:top w:val="single" w:color="auto" w:sz="4" w:space="0"/>
              <w:left w:val="single" w:color="auto" w:sz="4" w:space="0"/>
              <w:bottom w:val="single" w:color="auto" w:sz="4" w:space="0"/>
              <w:right w:val="single" w:color="auto" w:sz="4" w:space="0"/>
            </w:tcBorders>
            <w:vAlign w:val="center"/>
          </w:tcPr>
          <w:p>
            <w:pPr>
              <w:pStyle w:val="74"/>
              <w:rPr>
                <w:highlight w:val="yellow"/>
                <w:lang w:eastAsia="ja-JP"/>
              </w:rPr>
            </w:pPr>
            <w:r>
              <w:rPr>
                <w:highlight w:val="yellow"/>
                <w:lang w:eastAsia="ja-JP"/>
              </w:rPr>
              <w:t>60%</w:t>
            </w:r>
          </w:p>
        </w:tc>
        <w:tc>
          <w:tcPr>
            <w:tcW w:w="675" w:type="dxa"/>
            <w:tcBorders>
              <w:top w:val="single" w:color="auto" w:sz="4" w:space="0"/>
              <w:left w:val="single" w:color="auto" w:sz="4" w:space="0"/>
              <w:bottom w:val="single" w:color="auto" w:sz="4" w:space="0"/>
              <w:right w:val="single" w:color="auto" w:sz="4" w:space="0"/>
            </w:tcBorders>
            <w:vAlign w:val="center"/>
          </w:tcPr>
          <w:p>
            <w:pPr>
              <w:pStyle w:val="74"/>
              <w:rPr>
                <w:highlight w:val="yellow"/>
                <w:lang w:eastAsia="ja-JP"/>
              </w:rPr>
            </w:pPr>
            <w:r>
              <w:rPr>
                <w:highlight w:val="yellow"/>
                <w:lang w:eastAsia="ja-JP"/>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9" w:hRule="atLeast"/>
          <w:jc w:val="center"/>
        </w:trPr>
        <w:tc>
          <w:tcPr>
            <w:tcW w:w="6901" w:type="dxa"/>
            <w:gridSpan w:val="7"/>
            <w:tcBorders>
              <w:top w:val="single" w:color="auto" w:sz="4" w:space="0"/>
              <w:left w:val="single" w:color="auto" w:sz="4" w:space="0"/>
              <w:bottom w:val="single" w:color="auto" w:sz="4" w:space="0"/>
              <w:right w:val="single" w:color="auto" w:sz="4" w:space="0"/>
            </w:tcBorders>
            <w:vAlign w:val="center"/>
          </w:tcPr>
          <w:p>
            <w:pPr>
              <w:pStyle w:val="85"/>
            </w:pPr>
            <w:r>
              <w:t>NOTE:</w:t>
            </w:r>
            <w:r>
              <w:tab/>
            </w:r>
            <w:r>
              <w:t>The observations on the gain of RRC diversity w.r.t. mobility performance</w:t>
            </w:r>
            <w:r>
              <w:br w:type="textWrapping"/>
            </w:r>
            <w:r>
              <w:rPr>
                <w:rFonts w:hint="eastAsia"/>
                <w:lang w:eastAsia="ja-JP"/>
              </w:rPr>
              <w:t>are</w:t>
            </w:r>
            <w:r>
              <w:t xml:space="preserve"> applicable also in cases when DRX is used.</w:t>
            </w:r>
          </w:p>
        </w:tc>
      </w:tr>
    </w:tbl>
    <w:p>
      <w:pPr>
        <w:rPr>
          <w:rFonts w:eastAsiaTheme="minorEastAsia"/>
          <w:b/>
          <w:lang w:eastAsia="zh-CN"/>
        </w:rPr>
      </w:pPr>
    </w:p>
    <w:p>
      <w:pPr>
        <w:pStyle w:val="11"/>
        <w:rPr>
          <w:rFonts w:eastAsia="宋体"/>
          <w:sz w:val="21"/>
          <w:szCs w:val="28"/>
          <w:lang w:eastAsia="zh-CN"/>
        </w:rPr>
      </w:pPr>
      <w:r>
        <w:rPr>
          <w:rFonts w:hint="eastAsia" w:eastAsia="宋体"/>
          <w:sz w:val="21"/>
          <w:szCs w:val="28"/>
          <w:lang w:eastAsia="zh-CN"/>
        </w:rPr>
        <w:t>---------------------------------------------------- From 36.842 ------------------------------------------------------</w:t>
      </w:r>
    </w:p>
    <w:p>
      <w:pPr>
        <w:pStyle w:val="11"/>
        <w:rPr>
          <w:rFonts w:eastAsia="宋体"/>
          <w:sz w:val="21"/>
          <w:szCs w:val="28"/>
          <w:lang w:eastAsia="zh-CN"/>
        </w:rPr>
      </w:pPr>
      <w:r>
        <w:rPr>
          <w:rFonts w:hint="eastAsia" w:eastAsia="宋体"/>
          <w:sz w:val="21"/>
          <w:szCs w:val="28"/>
          <w:lang w:eastAsia="zh-CN"/>
        </w:rPr>
        <w:t xml:space="preserve">Based on the simulation result above, it can be observed that a considerable gain on mobility performance (i.e. more than 50%) can be achieved by the RRC diversity. </w:t>
      </w:r>
    </w:p>
    <w:p>
      <w:pPr>
        <w:pStyle w:val="11"/>
        <w:rPr>
          <w:rFonts w:eastAsia="宋体"/>
          <w:sz w:val="21"/>
          <w:szCs w:val="28"/>
          <w:lang w:eastAsia="zh-CN"/>
        </w:rPr>
      </w:pPr>
      <w:r>
        <w:rPr>
          <w:rFonts w:hint="eastAsia" w:eastAsia="宋体"/>
          <w:b/>
          <w:bCs/>
          <w:sz w:val="21"/>
          <w:szCs w:val="28"/>
          <w:lang w:eastAsia="zh-CN"/>
        </w:rPr>
        <w:t>Observation 3: Considerable gain on mobility performance (e.g. reduce the HO failure rate by 50%, as indicated in TR 36.842) can be achieved by using the RRC diversity, with which the handover related RRC signaling could additionally be transmitted from or to a potential target cell, and RLF could in this case be prevented as long as the UE is able to maintain a connection to at least one of the cells.</w:t>
      </w:r>
    </w:p>
    <w:p>
      <w:pPr>
        <w:pStyle w:val="11"/>
        <w:rPr>
          <w:rFonts w:eastAsia="宋体"/>
          <w:sz w:val="21"/>
          <w:szCs w:val="28"/>
          <w:lang w:eastAsia="zh-CN"/>
        </w:rPr>
      </w:pPr>
      <w:r>
        <w:rPr>
          <w:rFonts w:hint="eastAsia" w:eastAsia="宋体"/>
          <w:sz w:val="21"/>
          <w:szCs w:val="28"/>
          <w:lang w:eastAsia="zh-CN"/>
        </w:rPr>
        <w:t>Although the RRC diversity has not been adopted in Rel-12 due to the lack of time budget, the similar technology has already been agreed in NR. In NR, the SRB duplication has been adopted to enable the transmission/reception of RRC signaling through both the master node and secondary node. Besides the SRB duplication, the RLF enhancement has also been discussed in NR, but due to the limited time budget, the RLF enhancement has not been adopted in the NR Rel-15.</w:t>
      </w:r>
    </w:p>
    <w:p>
      <w:pPr>
        <w:pStyle w:val="11"/>
        <w:rPr>
          <w:rFonts w:eastAsia="宋体"/>
          <w:b/>
          <w:sz w:val="21"/>
          <w:szCs w:val="28"/>
          <w:lang w:eastAsia="zh-CN"/>
        </w:rPr>
      </w:pPr>
      <w:r>
        <w:rPr>
          <w:rFonts w:hint="eastAsia" w:eastAsia="宋体"/>
          <w:b/>
          <w:sz w:val="21"/>
          <w:szCs w:val="28"/>
          <w:lang w:eastAsia="zh-CN"/>
        </w:rPr>
        <w:t>Observation 4: The SRB duplication has already been adopted in NR, which can be used to improve the signaling robustness and improve the HO performance.</w:t>
      </w:r>
    </w:p>
    <w:p>
      <w:pPr>
        <w:pStyle w:val="11"/>
        <w:rPr>
          <w:rFonts w:eastAsia="宋体"/>
          <w:sz w:val="21"/>
          <w:szCs w:val="28"/>
          <w:lang w:eastAsia="zh-CN"/>
        </w:rPr>
      </w:pPr>
      <w:r>
        <w:rPr>
          <w:rFonts w:hint="eastAsia" w:eastAsia="宋体"/>
          <w:sz w:val="21"/>
          <w:szCs w:val="28"/>
          <w:lang w:eastAsia="zh-CN"/>
        </w:rPr>
        <w:t xml:space="preserve">Based on the analysis given above, </w:t>
      </w:r>
      <w:r>
        <w:rPr>
          <w:rFonts w:hint="eastAsia" w:eastAsia="宋体"/>
          <w:sz w:val="21"/>
          <w:szCs w:val="28"/>
          <w:lang w:val="en-US" w:eastAsia="zh-CN"/>
        </w:rPr>
        <w:t xml:space="preserve">we think clear </w:t>
      </w:r>
      <w:r>
        <w:rPr>
          <w:rFonts w:hint="eastAsia" w:eastAsia="宋体"/>
          <w:sz w:val="21"/>
          <w:szCs w:val="28"/>
          <w:lang w:eastAsia="zh-CN"/>
        </w:rPr>
        <w:t>gain on</w:t>
      </w:r>
      <w:r>
        <w:rPr>
          <w:rFonts w:hint="eastAsia" w:eastAsia="宋体"/>
          <w:sz w:val="21"/>
          <w:szCs w:val="28"/>
          <w:lang w:val="en-US" w:eastAsia="zh-CN"/>
        </w:rPr>
        <w:t xml:space="preserve"> the</w:t>
      </w:r>
      <w:r>
        <w:rPr>
          <w:rFonts w:hint="eastAsia" w:eastAsia="宋体"/>
          <w:sz w:val="21"/>
          <w:szCs w:val="28"/>
          <w:lang w:eastAsia="zh-CN"/>
        </w:rPr>
        <w:t xml:space="preserve"> mobility performance can be observed from the RRC diversity, especially for aerial vehicles</w:t>
      </w:r>
      <w:r>
        <w:rPr>
          <w:rFonts w:hint="eastAsia" w:eastAsia="宋体"/>
          <w:sz w:val="21"/>
          <w:szCs w:val="28"/>
          <w:lang w:val="en-US" w:eastAsia="zh-CN"/>
        </w:rPr>
        <w:t>. Besides the gain on mobility performance, the DRB duplication can also be used to improve the reliability and latency for the data transmission.</w:t>
      </w:r>
      <w:r>
        <w:rPr>
          <w:rFonts w:hint="eastAsia" w:eastAsia="宋体"/>
          <w:sz w:val="21"/>
          <w:szCs w:val="28"/>
          <w:lang w:eastAsia="zh-CN"/>
        </w:rPr>
        <w:t xml:space="preserve"> </w:t>
      </w:r>
      <w:r>
        <w:rPr>
          <w:rFonts w:hint="eastAsia" w:eastAsia="宋体"/>
          <w:sz w:val="21"/>
          <w:szCs w:val="28"/>
          <w:lang w:val="en-US" w:eastAsia="zh-CN"/>
        </w:rPr>
        <w:t>Therefore, we give our proposal as follow.</w:t>
      </w:r>
      <w:r>
        <w:rPr>
          <w:rFonts w:hint="eastAsia" w:eastAsia="宋体"/>
          <w:sz w:val="21"/>
          <w:szCs w:val="28"/>
          <w:lang w:eastAsia="zh-CN"/>
        </w:rPr>
        <w:t xml:space="preserve"> </w:t>
      </w:r>
    </w:p>
    <w:p>
      <w:pPr>
        <w:pStyle w:val="11"/>
        <w:rPr>
          <w:rFonts w:eastAsia="宋体"/>
          <w:b/>
          <w:sz w:val="21"/>
          <w:szCs w:val="28"/>
          <w:lang w:eastAsia="zh-CN"/>
        </w:rPr>
      </w:pPr>
      <w:r>
        <w:rPr>
          <w:rFonts w:hint="eastAsia" w:eastAsia="宋体"/>
          <w:b/>
          <w:sz w:val="21"/>
          <w:szCs w:val="28"/>
          <w:lang w:eastAsia="zh-CN"/>
        </w:rPr>
        <w:t>Proposal 1: The following enhancement to dual connectivity should be considered for aerial vehicles</w:t>
      </w:r>
      <w:r>
        <w:rPr>
          <w:rFonts w:hint="eastAsia" w:eastAsia="宋体"/>
          <w:b/>
          <w:sz w:val="21"/>
          <w:szCs w:val="28"/>
          <w:lang w:val="en-US" w:eastAsia="zh-CN"/>
        </w:rPr>
        <w:t xml:space="preserve"> in LTE</w:t>
      </w:r>
      <w:r>
        <w:rPr>
          <w:rFonts w:hint="eastAsia" w:eastAsia="宋体"/>
          <w:b/>
          <w:sz w:val="21"/>
          <w:szCs w:val="28"/>
          <w:lang w:eastAsia="zh-CN"/>
        </w:rPr>
        <w:t>:</w:t>
      </w:r>
    </w:p>
    <w:p>
      <w:pPr>
        <w:pStyle w:val="11"/>
        <w:numPr>
          <w:ilvl w:val="1"/>
          <w:numId w:val="6"/>
        </w:numPr>
        <w:ind w:left="284" w:hanging="284"/>
        <w:rPr>
          <w:rFonts w:eastAsia="宋体"/>
          <w:b/>
          <w:sz w:val="21"/>
          <w:szCs w:val="28"/>
          <w:lang w:eastAsia="zh-CN"/>
        </w:rPr>
      </w:pPr>
      <w:r>
        <w:rPr>
          <w:rFonts w:hint="eastAsia" w:eastAsia="宋体"/>
          <w:b/>
          <w:sz w:val="21"/>
          <w:szCs w:val="28"/>
          <w:lang w:eastAsia="zh-CN"/>
        </w:rPr>
        <w:t>SRB/DRB duplication</w:t>
      </w:r>
    </w:p>
    <w:p>
      <w:pPr>
        <w:pStyle w:val="11"/>
        <w:numPr>
          <w:ilvl w:val="1"/>
          <w:numId w:val="6"/>
        </w:numPr>
        <w:ind w:left="284" w:hanging="284"/>
        <w:rPr>
          <w:rFonts w:eastAsia="宋体"/>
          <w:sz w:val="21"/>
          <w:szCs w:val="28"/>
          <w:lang w:eastAsia="zh-CN"/>
        </w:rPr>
      </w:pPr>
      <w:r>
        <w:rPr>
          <w:rFonts w:hint="eastAsia" w:eastAsia="宋体"/>
          <w:b/>
          <w:sz w:val="21"/>
          <w:szCs w:val="28"/>
          <w:lang w:eastAsia="zh-CN"/>
        </w:rPr>
        <w:t>Secondary node assisted RLF recovery (i.e. RRC reestablishment shall not be triggered unless both the connection in master node and secondary node fail)</w:t>
      </w:r>
    </w:p>
    <w:p>
      <w:pPr>
        <w:pStyle w:val="11"/>
        <w:rPr>
          <w:rFonts w:eastAsia="宋体"/>
          <w:sz w:val="21"/>
          <w:szCs w:val="28"/>
          <w:lang w:eastAsia="zh-CN"/>
        </w:rPr>
      </w:pPr>
      <w:r>
        <w:rPr>
          <w:rFonts w:hint="eastAsia" w:eastAsia="宋体"/>
          <w:sz w:val="21"/>
          <w:szCs w:val="28"/>
          <w:lang w:eastAsia="zh-CN"/>
        </w:rPr>
        <w:t>Since the SRB duplication has already been supported in NR, in order to accelerate the progress, we propose to reuse the agreements made in NR for SRB/DRB duplication as much as possible.</w:t>
      </w:r>
    </w:p>
    <w:p>
      <w:pPr>
        <w:pStyle w:val="11"/>
        <w:rPr>
          <w:rFonts w:eastAsia="宋体"/>
          <w:b/>
          <w:iCs/>
          <w:lang w:eastAsia="zh-CN"/>
        </w:rPr>
      </w:pPr>
      <w:r>
        <w:rPr>
          <w:rFonts w:hint="eastAsia" w:eastAsia="宋体"/>
          <w:b/>
          <w:sz w:val="21"/>
          <w:szCs w:val="28"/>
          <w:lang w:eastAsia="zh-CN"/>
        </w:rPr>
        <w:t>Proposal 2: For the SRB/DRB duplication, reuse the agreements made in NR as much as possible.</w:t>
      </w:r>
    </w:p>
    <w:p>
      <w:pPr>
        <w:pStyle w:val="2"/>
        <w:pBdr>
          <w:top w:val="single" w:color="auto" w:sz="4" w:space="1"/>
        </w:pBdr>
        <w:jc w:val="both"/>
      </w:pPr>
      <w:r>
        <w:t>Conclusion</w:t>
      </w:r>
    </w:p>
    <w:p>
      <w:pPr>
        <w:pStyle w:val="11"/>
        <w:rPr>
          <w:rFonts w:eastAsia="宋体"/>
          <w:sz w:val="21"/>
          <w:szCs w:val="28"/>
          <w:lang w:eastAsia="zh-CN"/>
        </w:rPr>
      </w:pPr>
      <w:r>
        <w:rPr>
          <w:rFonts w:hint="eastAsia" w:eastAsia="宋体"/>
          <w:sz w:val="21"/>
          <w:szCs w:val="28"/>
          <w:lang w:eastAsia="zh-CN"/>
        </w:rPr>
        <w:t>Based on the analysis given above, we give our observation and proposal as follow:</w:t>
      </w:r>
    </w:p>
    <w:p>
      <w:pPr>
        <w:pStyle w:val="11"/>
        <w:rPr>
          <w:rFonts w:eastAsia="宋体"/>
          <w:i/>
          <w:sz w:val="21"/>
          <w:szCs w:val="28"/>
          <w:lang w:eastAsia="zh-CN"/>
        </w:rPr>
      </w:pPr>
      <w:r>
        <w:rPr>
          <w:rFonts w:hint="eastAsia" w:eastAsia="宋体"/>
          <w:i/>
          <w:sz w:val="21"/>
          <w:szCs w:val="28"/>
          <w:lang w:eastAsia="zh-CN"/>
        </w:rPr>
        <w:t xml:space="preserve">Observation 1: Since the NW optimization is mainly made for the UE on the grand, it will be difficult for the NW to ensure the radio quality with a single connection. </w:t>
      </w:r>
    </w:p>
    <w:p>
      <w:pPr>
        <w:pStyle w:val="11"/>
        <w:rPr>
          <w:rFonts w:eastAsia="宋体"/>
          <w:i/>
          <w:sz w:val="21"/>
          <w:szCs w:val="28"/>
          <w:lang w:eastAsia="zh-CN"/>
        </w:rPr>
      </w:pPr>
      <w:r>
        <w:rPr>
          <w:rFonts w:hint="eastAsia" w:eastAsia="宋体"/>
          <w:i/>
          <w:sz w:val="21"/>
          <w:szCs w:val="28"/>
          <w:lang w:eastAsia="zh-CN"/>
        </w:rPr>
        <w:t xml:space="preserve">Observation 2: In order to improve the robustness of signaling and data transmission, one possible solution is to maintain two connections simultaneously by using the dual connection technology.  </w:t>
      </w:r>
    </w:p>
    <w:p>
      <w:pPr>
        <w:pStyle w:val="11"/>
        <w:rPr>
          <w:rFonts w:eastAsia="宋体"/>
          <w:i/>
          <w:sz w:val="21"/>
          <w:szCs w:val="28"/>
          <w:lang w:eastAsia="zh-CN"/>
        </w:rPr>
      </w:pPr>
      <w:r>
        <w:rPr>
          <w:rFonts w:hint="eastAsia" w:eastAsia="宋体"/>
          <w:i/>
          <w:sz w:val="21"/>
          <w:szCs w:val="28"/>
          <w:lang w:eastAsia="zh-CN"/>
        </w:rPr>
        <w:t>Observation 3: Considerable gain on mobility performance (e.g. reduce the HO failure rate by 50%, as indicated in TR 36.842) can be achieved by using the RRC diversity, with which the handover related RRC signaling could additionally be transmitted from or to a potential target cell, and RLF could in this case be prevented as long as the UE is able to maintain a connection to at least one of the cells..</w:t>
      </w:r>
    </w:p>
    <w:p>
      <w:pPr>
        <w:pStyle w:val="11"/>
        <w:rPr>
          <w:rFonts w:eastAsia="宋体"/>
          <w:i/>
          <w:sz w:val="21"/>
          <w:szCs w:val="28"/>
          <w:lang w:eastAsia="zh-CN"/>
        </w:rPr>
      </w:pPr>
      <w:r>
        <w:rPr>
          <w:rFonts w:hint="eastAsia" w:eastAsia="宋体"/>
          <w:i/>
          <w:sz w:val="21"/>
          <w:szCs w:val="28"/>
          <w:lang w:eastAsia="zh-CN"/>
        </w:rPr>
        <w:t>Observation 4: The SRB duplication has already been adopted in NR, which can be used to improve the signaling robustness and improve the HO performance.</w:t>
      </w:r>
    </w:p>
    <w:p>
      <w:pPr>
        <w:pStyle w:val="11"/>
        <w:rPr>
          <w:rFonts w:eastAsia="宋体"/>
          <w:sz w:val="21"/>
          <w:szCs w:val="28"/>
          <w:lang w:eastAsia="zh-CN"/>
        </w:rPr>
      </w:pPr>
    </w:p>
    <w:p>
      <w:pPr>
        <w:pStyle w:val="11"/>
        <w:rPr>
          <w:rFonts w:eastAsia="宋体"/>
          <w:b/>
          <w:sz w:val="21"/>
          <w:szCs w:val="28"/>
          <w:lang w:eastAsia="zh-CN"/>
        </w:rPr>
      </w:pPr>
      <w:r>
        <w:rPr>
          <w:rFonts w:hint="eastAsia" w:eastAsia="宋体"/>
          <w:b/>
          <w:sz w:val="21"/>
          <w:szCs w:val="28"/>
          <w:lang w:eastAsia="zh-CN"/>
        </w:rPr>
        <w:t>Proposal 1: The following enhancement to dual connectivity should be considered for aerial vehicles</w:t>
      </w:r>
      <w:r>
        <w:rPr>
          <w:rFonts w:hint="eastAsia" w:eastAsia="宋体"/>
          <w:b/>
          <w:sz w:val="21"/>
          <w:szCs w:val="28"/>
          <w:lang w:val="en-US" w:eastAsia="zh-CN"/>
        </w:rPr>
        <w:t xml:space="preserve"> in LTE</w:t>
      </w:r>
      <w:r>
        <w:rPr>
          <w:rFonts w:hint="eastAsia" w:eastAsia="宋体"/>
          <w:b/>
          <w:sz w:val="21"/>
          <w:szCs w:val="28"/>
          <w:lang w:eastAsia="zh-CN"/>
        </w:rPr>
        <w:t>:</w:t>
      </w:r>
    </w:p>
    <w:p>
      <w:pPr>
        <w:pStyle w:val="11"/>
        <w:numPr>
          <w:ilvl w:val="0"/>
          <w:numId w:val="7"/>
        </w:numPr>
        <w:rPr>
          <w:rFonts w:eastAsia="宋体"/>
          <w:b/>
          <w:sz w:val="21"/>
          <w:szCs w:val="28"/>
          <w:lang w:eastAsia="zh-CN"/>
        </w:rPr>
      </w:pPr>
      <w:r>
        <w:rPr>
          <w:rFonts w:hint="eastAsia" w:eastAsia="宋体"/>
          <w:b/>
          <w:sz w:val="21"/>
          <w:szCs w:val="28"/>
          <w:lang w:eastAsia="zh-CN"/>
        </w:rPr>
        <w:t>SRB/DRB duplication</w:t>
      </w:r>
    </w:p>
    <w:p>
      <w:pPr>
        <w:pStyle w:val="11"/>
        <w:numPr>
          <w:ilvl w:val="0"/>
          <w:numId w:val="7"/>
        </w:numPr>
        <w:rPr>
          <w:rFonts w:eastAsia="宋体"/>
          <w:b/>
          <w:sz w:val="21"/>
          <w:szCs w:val="28"/>
          <w:lang w:eastAsia="zh-CN"/>
        </w:rPr>
      </w:pPr>
      <w:r>
        <w:rPr>
          <w:rFonts w:hint="eastAsia" w:eastAsia="宋体"/>
          <w:b/>
          <w:sz w:val="21"/>
          <w:szCs w:val="28"/>
          <w:lang w:eastAsia="zh-CN"/>
        </w:rPr>
        <w:t>Secondary node assisted RLF recovery (i.e. RRC reestablishment shall not be triggered unless both the connection in master node and secondary node fail)</w:t>
      </w:r>
    </w:p>
    <w:p>
      <w:pPr>
        <w:pStyle w:val="11"/>
        <w:rPr>
          <w:rFonts w:ascii="Arial" w:hAnsi="Arial" w:eastAsiaTheme="minorEastAsia"/>
          <w:lang w:val="fi-FI" w:eastAsia="zh-CN"/>
        </w:rPr>
      </w:pPr>
      <w:r>
        <w:rPr>
          <w:rFonts w:hint="eastAsia" w:eastAsia="宋体"/>
          <w:b/>
          <w:sz w:val="21"/>
          <w:szCs w:val="28"/>
          <w:lang w:eastAsia="zh-CN"/>
        </w:rPr>
        <w:t>Proposal 2: For the SRB/DRB duplication, reuse the agreements made in NR as much as possible.</w:t>
      </w:r>
    </w:p>
    <w:p>
      <w:pPr>
        <w:pStyle w:val="2"/>
        <w:pBdr>
          <w:top w:val="single" w:color="auto" w:sz="4" w:space="1"/>
        </w:pBdr>
        <w:jc w:val="both"/>
      </w:pPr>
      <w:r>
        <w:t>References</w:t>
      </w:r>
    </w:p>
    <w:p>
      <w:pPr>
        <w:pStyle w:val="11"/>
        <w:rPr>
          <w:rFonts w:eastAsia="宋体"/>
          <w:lang w:val="en-GB" w:eastAsia="zh-CN"/>
        </w:rPr>
      </w:pPr>
      <w:r>
        <w:rPr>
          <w:rFonts w:hint="eastAsia" w:eastAsia="宋体"/>
          <w:lang w:val="en-GB" w:eastAsia="zh-CN"/>
        </w:rPr>
        <w:t>[1</w:t>
      </w:r>
      <w:r>
        <w:rPr>
          <w:rFonts w:eastAsia="宋体"/>
          <w:lang w:val="en-GB" w:eastAsia="zh-CN"/>
        </w:rPr>
        <w:t>] TR 36.777</w:t>
      </w:r>
    </w:p>
    <w:p>
      <w:pPr>
        <w:pStyle w:val="11"/>
        <w:rPr>
          <w:rFonts w:eastAsiaTheme="minorEastAsia"/>
          <w:iCs/>
          <w:lang w:eastAsia="zh-CN"/>
        </w:rPr>
      </w:pPr>
      <w:r>
        <w:rPr>
          <w:rFonts w:hint="eastAsia" w:eastAsia="宋体"/>
          <w:lang w:val="en-GB" w:eastAsia="zh-CN"/>
        </w:rPr>
        <w:t>[</w:t>
      </w:r>
      <w:r>
        <w:rPr>
          <w:rFonts w:eastAsia="宋体"/>
          <w:lang w:val="en-GB" w:eastAsia="zh-CN"/>
        </w:rPr>
        <w:t>2] TR 36.842</w:t>
      </w: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1</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06DF8"/>
    <w:multiLevelType w:val="multilevel"/>
    <w:tmpl w:val="24906DF8"/>
    <w:lvl w:ilvl="0" w:tentative="0">
      <w:start w:val="0"/>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72D244E"/>
    <w:multiLevelType w:val="multilevel"/>
    <w:tmpl w:val="272D244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3">
    <w:nsid w:val="46A30F5D"/>
    <w:multiLevelType w:val="multilevel"/>
    <w:tmpl w:val="46A30F5D"/>
    <w:lvl w:ilvl="0" w:tentative="0">
      <w:start w:val="1"/>
      <w:numFmt w:val="bullet"/>
      <w:lvlText w:val=""/>
      <w:lvlJc w:val="left"/>
      <w:pPr>
        <w:ind w:left="420" w:hanging="420"/>
      </w:pPr>
      <w:rPr>
        <w:rFonts w:hint="default" w:ascii="Wingdings" w:hAnsi="Wingdings"/>
      </w:rPr>
    </w:lvl>
    <w:lvl w:ilvl="1" w:tentative="0">
      <w:start w:val="0"/>
      <w:numFmt w:val="bullet"/>
      <w:lvlText w:val="-"/>
      <w:lvlJc w:val="left"/>
      <w:pPr>
        <w:ind w:left="840" w:hanging="42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6"/>
  </w:num>
  <w:num w:numId="2">
    <w:abstractNumId w:val="4"/>
  </w:num>
  <w:num w:numId="3">
    <w:abstractNumId w:val="2"/>
  </w:num>
  <w:num w:numId="4">
    <w:abstractNumId w:val="5"/>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5161"/>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77C1B"/>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035F"/>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546"/>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29BC"/>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3BA"/>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39501B4"/>
    <w:rsid w:val="04422021"/>
    <w:rsid w:val="050673AA"/>
    <w:rsid w:val="0582796D"/>
    <w:rsid w:val="0659629D"/>
    <w:rsid w:val="068F5911"/>
    <w:rsid w:val="06E46E19"/>
    <w:rsid w:val="072B715D"/>
    <w:rsid w:val="073444D8"/>
    <w:rsid w:val="07803722"/>
    <w:rsid w:val="08E667AC"/>
    <w:rsid w:val="09FA00F0"/>
    <w:rsid w:val="0C132D25"/>
    <w:rsid w:val="0C9502A5"/>
    <w:rsid w:val="0CA45875"/>
    <w:rsid w:val="0D7E1F57"/>
    <w:rsid w:val="0DF11F2D"/>
    <w:rsid w:val="0E6E593D"/>
    <w:rsid w:val="0E9209B0"/>
    <w:rsid w:val="0F3573CF"/>
    <w:rsid w:val="0FC30AA9"/>
    <w:rsid w:val="0FFC6C57"/>
    <w:rsid w:val="10081732"/>
    <w:rsid w:val="10B21205"/>
    <w:rsid w:val="10BC5594"/>
    <w:rsid w:val="10F35D85"/>
    <w:rsid w:val="11580A77"/>
    <w:rsid w:val="131B3A72"/>
    <w:rsid w:val="136831F9"/>
    <w:rsid w:val="146436DD"/>
    <w:rsid w:val="14890F28"/>
    <w:rsid w:val="14FB4C8E"/>
    <w:rsid w:val="15067E57"/>
    <w:rsid w:val="15E96D92"/>
    <w:rsid w:val="160E416C"/>
    <w:rsid w:val="16692EF5"/>
    <w:rsid w:val="16E650F6"/>
    <w:rsid w:val="17D8549B"/>
    <w:rsid w:val="184F4020"/>
    <w:rsid w:val="197B4ECC"/>
    <w:rsid w:val="1A8A5B7E"/>
    <w:rsid w:val="1AF2495A"/>
    <w:rsid w:val="1B545215"/>
    <w:rsid w:val="1B595A89"/>
    <w:rsid w:val="1BA2390D"/>
    <w:rsid w:val="1BAE78BD"/>
    <w:rsid w:val="1C4B3BBC"/>
    <w:rsid w:val="1DAA4460"/>
    <w:rsid w:val="1E831CAA"/>
    <w:rsid w:val="1EF75CFF"/>
    <w:rsid w:val="21FF7D31"/>
    <w:rsid w:val="223704D6"/>
    <w:rsid w:val="238154F4"/>
    <w:rsid w:val="257D5651"/>
    <w:rsid w:val="261D4284"/>
    <w:rsid w:val="270B4D19"/>
    <w:rsid w:val="273B2AE2"/>
    <w:rsid w:val="2796644E"/>
    <w:rsid w:val="2846146F"/>
    <w:rsid w:val="28D01C3C"/>
    <w:rsid w:val="28EC1E80"/>
    <w:rsid w:val="28F42B77"/>
    <w:rsid w:val="29AF4BE6"/>
    <w:rsid w:val="29E806D9"/>
    <w:rsid w:val="2B914CD0"/>
    <w:rsid w:val="2C1A5697"/>
    <w:rsid w:val="2DFE3C75"/>
    <w:rsid w:val="30243557"/>
    <w:rsid w:val="31A2512E"/>
    <w:rsid w:val="31F03AB7"/>
    <w:rsid w:val="320710C0"/>
    <w:rsid w:val="327276DD"/>
    <w:rsid w:val="33672624"/>
    <w:rsid w:val="33CE16AD"/>
    <w:rsid w:val="342F5F88"/>
    <w:rsid w:val="3472228A"/>
    <w:rsid w:val="348F3B12"/>
    <w:rsid w:val="357F1E33"/>
    <w:rsid w:val="35F4163C"/>
    <w:rsid w:val="375F4007"/>
    <w:rsid w:val="37BD5DA5"/>
    <w:rsid w:val="386113FA"/>
    <w:rsid w:val="38F00F10"/>
    <w:rsid w:val="3958496F"/>
    <w:rsid w:val="39653F7E"/>
    <w:rsid w:val="39B2276C"/>
    <w:rsid w:val="3A5C28FF"/>
    <w:rsid w:val="3D5212BA"/>
    <w:rsid w:val="3D741050"/>
    <w:rsid w:val="3D754879"/>
    <w:rsid w:val="3EDD524D"/>
    <w:rsid w:val="3F8C28BA"/>
    <w:rsid w:val="403C5491"/>
    <w:rsid w:val="42276724"/>
    <w:rsid w:val="444B2E91"/>
    <w:rsid w:val="44A460DB"/>
    <w:rsid w:val="453F67C5"/>
    <w:rsid w:val="45570037"/>
    <w:rsid w:val="4676484C"/>
    <w:rsid w:val="489F428D"/>
    <w:rsid w:val="48BB3DB2"/>
    <w:rsid w:val="49BB3176"/>
    <w:rsid w:val="49DA3D9D"/>
    <w:rsid w:val="4A1F57A6"/>
    <w:rsid w:val="4AF51BA2"/>
    <w:rsid w:val="4B2F2D6C"/>
    <w:rsid w:val="4BB0013D"/>
    <w:rsid w:val="4CE9144F"/>
    <w:rsid w:val="4EF1316B"/>
    <w:rsid w:val="4F145F5A"/>
    <w:rsid w:val="4F150A97"/>
    <w:rsid w:val="50133853"/>
    <w:rsid w:val="503F487A"/>
    <w:rsid w:val="50825F6F"/>
    <w:rsid w:val="5134583D"/>
    <w:rsid w:val="51D50744"/>
    <w:rsid w:val="52AE38F7"/>
    <w:rsid w:val="52F269C3"/>
    <w:rsid w:val="539E1908"/>
    <w:rsid w:val="55025020"/>
    <w:rsid w:val="558E6642"/>
    <w:rsid w:val="5666362C"/>
    <w:rsid w:val="570A2655"/>
    <w:rsid w:val="57DD2170"/>
    <w:rsid w:val="5913647E"/>
    <w:rsid w:val="59307E86"/>
    <w:rsid w:val="59724A8E"/>
    <w:rsid w:val="5BC74A43"/>
    <w:rsid w:val="5C086C34"/>
    <w:rsid w:val="60CA4A1E"/>
    <w:rsid w:val="625776D1"/>
    <w:rsid w:val="6453318E"/>
    <w:rsid w:val="649415F2"/>
    <w:rsid w:val="6634496C"/>
    <w:rsid w:val="687A733D"/>
    <w:rsid w:val="6923311F"/>
    <w:rsid w:val="69262905"/>
    <w:rsid w:val="693113B5"/>
    <w:rsid w:val="69337659"/>
    <w:rsid w:val="6A3B360D"/>
    <w:rsid w:val="6B8932FB"/>
    <w:rsid w:val="6CB518E9"/>
    <w:rsid w:val="6CFC759F"/>
    <w:rsid w:val="6DE74A42"/>
    <w:rsid w:val="6E3D6C31"/>
    <w:rsid w:val="6F101A3C"/>
    <w:rsid w:val="70A12211"/>
    <w:rsid w:val="71A833E1"/>
    <w:rsid w:val="71F33EB4"/>
    <w:rsid w:val="720B445D"/>
    <w:rsid w:val="7316577D"/>
    <w:rsid w:val="73EE4A70"/>
    <w:rsid w:val="74656678"/>
    <w:rsid w:val="74ED254E"/>
    <w:rsid w:val="75510105"/>
    <w:rsid w:val="75B534BA"/>
    <w:rsid w:val="75C8748F"/>
    <w:rsid w:val="769932A0"/>
    <w:rsid w:val="77113572"/>
    <w:rsid w:val="77815A3B"/>
    <w:rsid w:val="77A9757E"/>
    <w:rsid w:val="78A87C11"/>
    <w:rsid w:val="78CE2963"/>
    <w:rsid w:val="7AF6685D"/>
    <w:rsid w:val="7B7E3EB4"/>
    <w:rsid w:val="7C3209BA"/>
    <w:rsid w:val="7DAD53E2"/>
    <w:rsid w:val="7E123B67"/>
    <w:rsid w:val="7E2C41F8"/>
    <w:rsid w:val="7E3A4659"/>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numPr>
        <w:ilvl w:val="1"/>
      </w:numPr>
      <w:tabs>
        <w:tab w:val="clear" w:pos="567"/>
      </w:tabs>
      <w:spacing w:before="240" w:after="60"/>
      <w:outlineLvl w:val="1"/>
    </w:pPr>
    <w:rPr>
      <w:rFonts w:eastAsia="MS Mincho"/>
      <w:iCs/>
      <w:szCs w:val="28"/>
    </w:rPr>
  </w:style>
  <w:style w:type="paragraph" w:styleId="4">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75"/>
    <w:link w:val="76"/>
    <w:qFormat/>
    <w:uiPriority w:val="0"/>
    <w:pPr>
      <w:overflowPunct w:val="0"/>
      <w:autoSpaceDE w:val="0"/>
      <w:autoSpaceDN w:val="0"/>
      <w:adjustRightInd w:val="0"/>
      <w:jc w:val="center"/>
      <w:textAlignment w:val="baseline"/>
    </w:pPr>
    <w:rPr>
      <w:szCs w:val="20"/>
      <w:lang w:val="en-GB"/>
    </w:rPr>
  </w:style>
  <w:style w:type="paragraph" w:customStyle="1" w:styleId="75">
    <w:name w:val="TAL"/>
    <w:basedOn w:val="1"/>
    <w:qFormat/>
    <w:uiPriority w:val="0"/>
    <w:pPr>
      <w:keepNext/>
      <w:keepLines/>
    </w:pPr>
    <w:rPr>
      <w:rFonts w:ascii="Arial" w:hAnsi="Arial"/>
      <w:sz w:val="18"/>
    </w:rPr>
  </w:style>
  <w:style w:type="character" w:customStyle="1" w:styleId="76">
    <w:name w:val="TAC Char"/>
    <w:link w:val="74"/>
    <w:qFormat/>
    <w:uiPriority w:val="0"/>
    <w:rPr>
      <w:rFonts w:ascii="Arial" w:hAnsi="Arial" w:eastAsia="Times New Roman"/>
      <w:sz w:val="18"/>
      <w:lang w:val="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8">
    <w:name w:val="TH Char"/>
    <w:link w:val="77"/>
    <w:qFormat/>
    <w:uiPriority w:val="0"/>
    <w:rPr>
      <w:rFonts w:ascii="Arial" w:hAnsi="Arial" w:eastAsia="Times New Roman"/>
      <w:b/>
      <w:lang w:val="en-GB"/>
    </w:rPr>
  </w:style>
  <w:style w:type="paragraph" w:customStyle="1" w:styleId="79">
    <w:name w:val="TAH"/>
    <w:basedOn w:val="74"/>
    <w:link w:val="80"/>
    <w:qFormat/>
    <w:uiPriority w:val="0"/>
    <w:rPr>
      <w:b/>
    </w:rPr>
  </w:style>
  <w:style w:type="character" w:customStyle="1" w:styleId="80">
    <w:name w:val="TAH Car"/>
    <w:link w:val="79"/>
    <w:qFormat/>
    <w:uiPriority w:val="0"/>
    <w:rPr>
      <w:rFonts w:ascii="Arial" w:hAnsi="Arial" w:eastAsia="Times New Roman"/>
      <w:b/>
      <w:sz w:val="18"/>
      <w:lang w:val="en-GB"/>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2">
    <w:name w:val="PL Char"/>
    <w:link w:val="81"/>
    <w:qFormat/>
    <w:uiPriority w:val="0"/>
    <w:rPr>
      <w:rFonts w:ascii="Courier New" w:hAnsi="Courier New" w:eastAsiaTheme="minorEastAsia"/>
      <w:sz w:val="16"/>
      <w:shd w:val="clear" w:color="auto" w:fill="E6E6E6"/>
      <w:lang w:val="en-GB" w:eastAsia="sv-SE"/>
    </w:rPr>
  </w:style>
  <w:style w:type="paragraph" w:customStyle="1" w:styleId="83">
    <w:name w:val="Editor's Note"/>
    <w:basedOn w:val="51"/>
    <w:link w:val="84"/>
    <w:qFormat/>
    <w:uiPriority w:val="0"/>
    <w:pPr>
      <w:overflowPunct/>
      <w:autoSpaceDE/>
      <w:autoSpaceDN/>
      <w:adjustRightInd/>
      <w:textAlignment w:val="auto"/>
    </w:pPr>
    <w:rPr>
      <w:rFonts w:eastAsiaTheme="minorEastAsia"/>
      <w:color w:val="FF0000"/>
    </w:rPr>
  </w:style>
  <w:style w:type="character" w:customStyle="1" w:styleId="84">
    <w:name w:val="Editor's Note Char"/>
    <w:link w:val="83"/>
    <w:qFormat/>
    <w:uiPriority w:val="0"/>
    <w:rPr>
      <w:rFonts w:ascii="Times New Roman" w:hAnsi="Times New Roman" w:eastAsiaTheme="minorEastAsia"/>
      <w:color w:val="FF0000"/>
      <w:lang w:val="en-GB" w:eastAsia="en-US"/>
    </w:rPr>
  </w:style>
  <w:style w:type="paragraph" w:customStyle="1" w:styleId="85">
    <w:name w:val="TAN"/>
    <w:basedOn w:val="75"/>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F:\small%20cell%20ali%2020130923%20v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'Results-20130923'!$A$6</c:f>
              <c:strCache>
                <c:ptCount val="1"/>
                <c:pt idx="0">
                  <c:v>Normal HO</c:v>
                </c:pt>
              </c:strCache>
            </c:strRef>
          </c:tx>
          <c:invertIfNegative val="0"/>
          <c:dLbls>
            <c:delete val="1"/>
          </c:dLbls>
          <c:cat>
            <c:multiLvlStrRef>
              <c:f>'Results-20130923'!$B$4:$G$5</c:f>
              <c:multiLvlStrCache>
                <c:ptCount val="6"/>
                <c:lvl>
                  <c:pt idx="1">
                    <c:v>80</c:v>
                  </c:pt>
                  <c:pt idx="2">
                    <c:v>160</c:v>
                  </c:pt>
                  <c:pt idx="3">
                    <c:v>320</c:v>
                  </c:pt>
                  <c:pt idx="4">
                    <c:v>640</c:v>
                  </c:pt>
                  <c:pt idx="5">
                    <c:v>1280</c:v>
                  </c:pt>
                </c:lvl>
                <c:lvl>
                  <c:pt idx="0">
                    <c:v>no DRX</c:v>
                  </c:pt>
                  <c:pt idx="1">
                    <c:v>DRX cycle</c:v>
                  </c:pt>
                </c:lvl>
              </c:multiLvlStrCache>
            </c:multiLvlStrRef>
          </c:cat>
          <c:val>
            <c:numRef>
              <c:f>'Results-20130923'!$B$6:$G$6</c:f>
              <c:numCache>
                <c:formatCode>General</c:formatCode>
                <c:ptCount val="6"/>
                <c:pt idx="0">
                  <c:v>24.9</c:v>
                </c:pt>
                <c:pt idx="1">
                  <c:v>30.7</c:v>
                </c:pt>
                <c:pt idx="2">
                  <c:v>36.1</c:v>
                </c:pt>
                <c:pt idx="3">
                  <c:v>44.5</c:v>
                </c:pt>
                <c:pt idx="4">
                  <c:v>47.9</c:v>
                </c:pt>
                <c:pt idx="5">
                  <c:v>59.6</c:v>
                </c:pt>
              </c:numCache>
            </c:numRef>
          </c:val>
        </c:ser>
        <c:ser>
          <c:idx val="1"/>
          <c:order val="1"/>
          <c:tx>
            <c:strRef>
              <c:f>'Results-20130923'!$A$7</c:f>
              <c:strCache>
                <c:ptCount val="1"/>
                <c:pt idx="0">
                  <c:v>Dual RLM + Dual RRC Msg</c:v>
                </c:pt>
              </c:strCache>
            </c:strRef>
          </c:tx>
          <c:invertIfNegative val="0"/>
          <c:dLbls>
            <c:delete val="1"/>
          </c:dLbls>
          <c:cat>
            <c:multiLvlStrRef>
              <c:f>'Results-20130923'!$B$4:$G$5</c:f>
              <c:multiLvlStrCache>
                <c:ptCount val="6"/>
                <c:lvl>
                  <c:pt idx="1">
                    <c:v>80</c:v>
                  </c:pt>
                  <c:pt idx="2">
                    <c:v>160</c:v>
                  </c:pt>
                  <c:pt idx="3">
                    <c:v>320</c:v>
                  </c:pt>
                  <c:pt idx="4">
                    <c:v>640</c:v>
                  </c:pt>
                  <c:pt idx="5">
                    <c:v>1280</c:v>
                  </c:pt>
                </c:lvl>
                <c:lvl>
                  <c:pt idx="0">
                    <c:v>no DRX</c:v>
                  </c:pt>
                  <c:pt idx="1">
                    <c:v>DRX cycle</c:v>
                  </c:pt>
                </c:lvl>
              </c:multiLvlStrCache>
            </c:multiLvlStrRef>
          </c:cat>
          <c:val>
            <c:numRef>
              <c:f>'Results-20130923'!$B$7:$G$7</c:f>
              <c:numCache>
                <c:formatCode>General</c:formatCode>
                <c:ptCount val="6"/>
                <c:pt idx="0">
                  <c:v>11.3</c:v>
                </c:pt>
                <c:pt idx="1">
                  <c:v>13.1</c:v>
                </c:pt>
                <c:pt idx="2">
                  <c:v>15</c:v>
                </c:pt>
                <c:pt idx="3">
                  <c:v>17.8</c:v>
                </c:pt>
                <c:pt idx="4">
                  <c:v>19.4</c:v>
                </c:pt>
                <c:pt idx="5">
                  <c:v>26.2</c:v>
                </c:pt>
              </c:numCache>
            </c:numRef>
          </c:val>
        </c:ser>
        <c:dLbls>
          <c:showLegendKey val="0"/>
          <c:showVal val="0"/>
          <c:showCatName val="0"/>
          <c:showSerName val="0"/>
          <c:showPercent val="0"/>
          <c:showBubbleSize val="0"/>
        </c:dLbls>
        <c:gapWidth val="150"/>
        <c:axId val="555194048"/>
        <c:axId val="555194608"/>
      </c:barChart>
      <c:catAx>
        <c:axId val="555194048"/>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555194608"/>
        <c:crosses val="autoZero"/>
        <c:auto val="1"/>
        <c:lblAlgn val="ctr"/>
        <c:lblOffset val="100"/>
        <c:noMultiLvlLbl val="0"/>
      </c:catAx>
      <c:valAx>
        <c:axId val="55519460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555194048"/>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65B2E7-2446-470A-BC8C-E2977D480BBD}">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4</Pages>
  <Words>1197</Words>
  <Characters>6827</Characters>
  <Lines>56</Lines>
  <Paragraphs>16</Paragraphs>
  <ScaleCrop>false</ScaleCrop>
  <LinksUpToDate>false</LinksUpToDate>
  <CharactersWithSpaces>8008</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2018-04-05T14:27:41Z</dcterms:modified>
  <dc:title>3GPP contribution</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